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1C" w:rsidRPr="009B65E3" w:rsidRDefault="005165C5" w:rsidP="005165C5">
      <w:pPr>
        <w:jc w:val="center"/>
        <w:rPr>
          <w:sz w:val="28"/>
          <w:szCs w:val="28"/>
        </w:rPr>
      </w:pPr>
      <w:r w:rsidRPr="009B65E3">
        <w:rPr>
          <w:sz w:val="28"/>
          <w:szCs w:val="28"/>
        </w:rPr>
        <w:t>Poštovani roditelji!</w:t>
      </w:r>
    </w:p>
    <w:p w:rsidR="005165C5" w:rsidRDefault="005165C5" w:rsidP="005165C5"/>
    <w:p w:rsidR="005165C5" w:rsidRDefault="005165C5" w:rsidP="005165C5">
      <w:r>
        <w:t>Ove školske godine krenula je kurikularna reforma, između ostalog i u peti razred.</w:t>
      </w:r>
    </w:p>
    <w:p w:rsidR="005165C5" w:rsidRDefault="005165C5" w:rsidP="005165C5"/>
    <w:p w:rsidR="005165C5" w:rsidRPr="005165C5" w:rsidRDefault="005165C5" w:rsidP="005165C5">
      <w:pPr>
        <w:pStyle w:val="box459495"/>
        <w:shd w:val="clear" w:color="auto" w:fill="FFFFFF"/>
        <w:spacing w:before="0" w:beforeAutospacing="0" w:after="0" w:afterAutospacing="0"/>
        <w:textAlignment w:val="baseline"/>
        <w:rPr>
          <w:rFonts w:asciiTheme="minorHAnsi" w:hAnsiTheme="minorHAnsi" w:cstheme="minorHAnsi"/>
          <w:b/>
          <w:color w:val="231F20"/>
        </w:rPr>
      </w:pPr>
      <w:r w:rsidRPr="005165C5">
        <w:rPr>
          <w:rFonts w:asciiTheme="minorHAnsi" w:hAnsiTheme="minorHAnsi" w:cstheme="minorHAnsi"/>
          <w:b/>
          <w:color w:val="231F20"/>
        </w:rPr>
        <w:t>CILJEVI UČENJA I POUČAVANJA PREDMETA</w:t>
      </w:r>
      <w:r>
        <w:rPr>
          <w:rFonts w:asciiTheme="minorHAnsi" w:hAnsiTheme="minorHAnsi" w:cstheme="minorHAnsi"/>
          <w:b/>
          <w:color w:val="231F20"/>
        </w:rPr>
        <w:t xml:space="preserve"> MATEMATIKA</w:t>
      </w:r>
      <w:r w:rsidRPr="005165C5">
        <w:rPr>
          <w:rFonts w:asciiTheme="minorHAnsi" w:hAnsiTheme="minorHAnsi" w:cstheme="minorHAnsi"/>
          <w:b/>
          <w:color w:val="231F20"/>
        </w:rPr>
        <w:t>:</w:t>
      </w:r>
    </w:p>
    <w:p w:rsidR="005165C5" w:rsidRDefault="005165C5" w:rsidP="005165C5">
      <w:pPr>
        <w:pStyle w:val="box459495"/>
        <w:shd w:val="clear" w:color="auto" w:fill="FFFFFF"/>
        <w:spacing w:before="0" w:beforeAutospacing="0" w:after="0" w:afterAutospacing="0"/>
        <w:textAlignment w:val="baseline"/>
        <w:rPr>
          <w:rFonts w:asciiTheme="minorHAnsi" w:hAnsiTheme="minorHAnsi" w:cstheme="minorHAnsi"/>
          <w:color w:val="231F20"/>
        </w:rPr>
      </w:pPr>
    </w:p>
    <w:p w:rsidR="005165C5" w:rsidRDefault="005165C5" w:rsidP="005165C5">
      <w:pPr>
        <w:pStyle w:val="box459495"/>
        <w:shd w:val="clear" w:color="auto" w:fill="FFFFFF"/>
        <w:spacing w:before="0" w:beforeAutospacing="0" w:after="0" w:afterAutospacing="0"/>
        <w:textAlignment w:val="baseline"/>
        <w:rPr>
          <w:rFonts w:asciiTheme="minorHAnsi" w:hAnsiTheme="minorHAnsi" w:cstheme="minorHAnsi"/>
          <w:color w:val="231F20"/>
        </w:rPr>
      </w:pPr>
      <w:r>
        <w:rPr>
          <w:rFonts w:asciiTheme="minorHAnsi" w:hAnsiTheme="minorHAnsi" w:cstheme="minorHAnsi"/>
          <w:color w:val="231F20"/>
        </w:rPr>
        <w:t>Učenici će temeljem usvojenih matematičkih znanja, vještina i procesa:</w:t>
      </w:r>
    </w:p>
    <w:p w:rsidR="005165C5" w:rsidRDefault="005165C5" w:rsidP="005165C5">
      <w:pPr>
        <w:pStyle w:val="box459495"/>
        <w:shd w:val="clear" w:color="auto" w:fill="FFFFFF"/>
        <w:spacing w:before="0" w:beforeAutospacing="0" w:after="0" w:afterAutospacing="0"/>
        <w:textAlignment w:val="baseline"/>
        <w:rPr>
          <w:rFonts w:asciiTheme="minorHAnsi" w:hAnsiTheme="minorHAnsi" w:cstheme="minorHAnsi"/>
          <w:color w:val="231F20"/>
        </w:rPr>
      </w:pPr>
    </w:p>
    <w:p w:rsidR="005165C5" w:rsidRDefault="005165C5" w:rsidP="005165C5">
      <w:pPr>
        <w:pStyle w:val="box459495"/>
        <w:shd w:val="clear" w:color="auto" w:fill="FFFFFF"/>
        <w:spacing w:before="0" w:beforeAutospacing="0" w:after="0" w:afterAutospacing="0"/>
        <w:textAlignment w:val="baseline"/>
        <w:rPr>
          <w:rFonts w:asciiTheme="minorHAnsi" w:hAnsiTheme="minorHAnsi" w:cstheme="minorHAnsi"/>
          <w:color w:val="231F20"/>
        </w:rPr>
      </w:pPr>
      <w:r>
        <w:rPr>
          <w:rFonts w:asciiTheme="minorHAnsi" w:hAnsiTheme="minorHAnsi" w:cstheme="minorHAnsi"/>
          <w:color w:val="231F20"/>
        </w:rPr>
        <w:t xml:space="preserve">– </w:t>
      </w:r>
      <w:r>
        <w:rPr>
          <w:rFonts w:asciiTheme="minorHAnsi" w:hAnsiTheme="minorHAnsi" w:cstheme="minorHAnsi"/>
          <w:b/>
          <w:color w:val="231F20"/>
        </w:rPr>
        <w:t>primijeniti</w:t>
      </w:r>
      <w:r>
        <w:rPr>
          <w:rFonts w:asciiTheme="minorHAnsi" w:hAnsiTheme="minorHAnsi" w:cstheme="minorHAnsi"/>
          <w:color w:val="231F20"/>
        </w:rPr>
        <w:t xml:space="preserve"> </w:t>
      </w:r>
      <w:r>
        <w:rPr>
          <w:rFonts w:asciiTheme="minorHAnsi" w:hAnsiTheme="minorHAnsi" w:cstheme="minorHAnsi"/>
          <w:b/>
          <w:color w:val="231F20"/>
        </w:rPr>
        <w:t>matematički jezik</w:t>
      </w:r>
      <w:r>
        <w:rPr>
          <w:rFonts w:asciiTheme="minorHAnsi" w:hAnsiTheme="minorHAnsi" w:cstheme="minorHAnsi"/>
          <w:color w:val="231F20"/>
        </w:rPr>
        <w:t xml:space="preserve"> u usmenome i pisanome izražavanju, strukturiranju, analizi, razumijevanju i procjeni informacija upotrebljavajući različite načine prikazivanja matematičkih ideja, procesa i rezultata u matematičkome kontekstu i stvarnome životu</w:t>
      </w:r>
    </w:p>
    <w:p w:rsidR="005165C5" w:rsidRDefault="005165C5" w:rsidP="005165C5">
      <w:pPr>
        <w:pStyle w:val="box459495"/>
        <w:shd w:val="clear" w:color="auto" w:fill="FFFFFF"/>
        <w:spacing w:before="0" w:beforeAutospacing="0" w:after="0" w:afterAutospacing="0"/>
        <w:textAlignment w:val="baseline"/>
        <w:rPr>
          <w:rFonts w:asciiTheme="minorHAnsi" w:hAnsiTheme="minorHAnsi" w:cstheme="minorHAnsi"/>
          <w:color w:val="231F20"/>
        </w:rPr>
      </w:pPr>
    </w:p>
    <w:p w:rsidR="005165C5" w:rsidRDefault="005165C5" w:rsidP="005165C5">
      <w:pPr>
        <w:pStyle w:val="box459495"/>
        <w:shd w:val="clear" w:color="auto" w:fill="FFFFFF"/>
        <w:spacing w:before="0" w:beforeAutospacing="0" w:after="0" w:afterAutospacing="0"/>
        <w:textAlignment w:val="baseline"/>
        <w:rPr>
          <w:rFonts w:asciiTheme="minorHAnsi" w:hAnsiTheme="minorHAnsi" w:cstheme="minorHAnsi"/>
          <w:color w:val="231F20"/>
        </w:rPr>
      </w:pPr>
      <w:r>
        <w:rPr>
          <w:rFonts w:asciiTheme="minorHAnsi" w:hAnsiTheme="minorHAnsi" w:cstheme="minorHAnsi"/>
          <w:color w:val="231F20"/>
        </w:rPr>
        <w:t xml:space="preserve">– samostalno i u suradničkome okružju </w:t>
      </w:r>
      <w:r>
        <w:rPr>
          <w:rFonts w:asciiTheme="minorHAnsi" w:hAnsiTheme="minorHAnsi" w:cstheme="minorHAnsi"/>
          <w:b/>
          <w:color w:val="231F20"/>
        </w:rPr>
        <w:t>matematički rasuđivati</w:t>
      </w:r>
      <w:r>
        <w:rPr>
          <w:rFonts w:asciiTheme="minorHAnsi" w:hAnsiTheme="minorHAnsi" w:cstheme="minorHAnsi"/>
          <w:color w:val="231F20"/>
        </w:rPr>
        <w:t xml:space="preserve"> logičkim, kreativnim i kritičkim promišljanjem i povezivanjem, argumentiranim raspravama, zaključivanjem, provjeravanjem pretpostavki i postupaka te dokazivanjem tvrdnji</w:t>
      </w:r>
    </w:p>
    <w:p w:rsidR="005165C5" w:rsidRDefault="005165C5" w:rsidP="005165C5">
      <w:pPr>
        <w:pStyle w:val="box459495"/>
        <w:shd w:val="clear" w:color="auto" w:fill="FFFFFF"/>
        <w:spacing w:before="0" w:beforeAutospacing="0" w:after="0" w:afterAutospacing="0"/>
        <w:textAlignment w:val="baseline"/>
        <w:rPr>
          <w:rFonts w:asciiTheme="minorHAnsi" w:hAnsiTheme="minorHAnsi" w:cstheme="minorHAnsi"/>
          <w:color w:val="231F20"/>
        </w:rPr>
      </w:pPr>
    </w:p>
    <w:p w:rsidR="005165C5" w:rsidRDefault="005165C5" w:rsidP="005165C5">
      <w:pPr>
        <w:pStyle w:val="box459495"/>
        <w:shd w:val="clear" w:color="auto" w:fill="FFFFFF"/>
        <w:spacing w:before="0" w:beforeAutospacing="0" w:after="0" w:afterAutospacing="0"/>
        <w:textAlignment w:val="baseline"/>
        <w:rPr>
          <w:rFonts w:asciiTheme="minorHAnsi" w:hAnsiTheme="minorHAnsi" w:cstheme="minorHAnsi"/>
          <w:color w:val="231F20"/>
        </w:rPr>
      </w:pPr>
      <w:r>
        <w:rPr>
          <w:rFonts w:asciiTheme="minorHAnsi" w:hAnsiTheme="minorHAnsi" w:cstheme="minorHAnsi"/>
          <w:b/>
          <w:color w:val="231F20"/>
        </w:rPr>
        <w:t>– rješavati problemske situacije</w:t>
      </w:r>
      <w:r>
        <w:rPr>
          <w:rFonts w:asciiTheme="minorHAnsi" w:hAnsiTheme="minorHAnsi" w:cstheme="minorHAnsi"/>
          <w:color w:val="231F20"/>
        </w:rPr>
        <w:t xml:space="preserve"> odabirom relevantnih podataka, analizom mogućih strategija i provođenjem optimalne strategije te preispitivanjem procesa i rezultata, po potrebi uz učinkovitu uporabu odgovarajućih alata i tehnologije</w:t>
      </w:r>
    </w:p>
    <w:p w:rsidR="005165C5" w:rsidRDefault="005165C5" w:rsidP="005165C5">
      <w:pPr>
        <w:pStyle w:val="box459495"/>
        <w:shd w:val="clear" w:color="auto" w:fill="FFFFFF"/>
        <w:spacing w:before="0" w:beforeAutospacing="0" w:after="0" w:afterAutospacing="0"/>
        <w:textAlignment w:val="baseline"/>
        <w:rPr>
          <w:rFonts w:asciiTheme="minorHAnsi" w:hAnsiTheme="minorHAnsi" w:cstheme="minorHAnsi"/>
          <w:color w:val="231F20"/>
        </w:rPr>
      </w:pPr>
    </w:p>
    <w:p w:rsidR="005165C5" w:rsidRDefault="005165C5" w:rsidP="005165C5">
      <w:pPr>
        <w:pStyle w:val="box459495"/>
        <w:shd w:val="clear" w:color="auto" w:fill="FFFFFF"/>
        <w:spacing w:before="0" w:beforeAutospacing="0" w:after="0" w:afterAutospacing="0"/>
        <w:textAlignment w:val="baseline"/>
        <w:rPr>
          <w:rFonts w:asciiTheme="minorHAnsi" w:hAnsiTheme="minorHAnsi" w:cstheme="minorHAnsi"/>
          <w:color w:val="231F20"/>
        </w:rPr>
      </w:pPr>
      <w:r>
        <w:rPr>
          <w:rFonts w:asciiTheme="minorHAnsi" w:hAnsiTheme="minorHAnsi" w:cstheme="minorHAnsi"/>
          <w:color w:val="231F20"/>
        </w:rPr>
        <w:t>– razviti samopouzdanje i svijest o vlastitim matematičkim sposobnostima, upornost, poduzetnost, odgovornost, uvažavanje i pozitivan odnos prema matematici i radu općenito</w:t>
      </w:r>
    </w:p>
    <w:p w:rsidR="005165C5" w:rsidRDefault="005165C5" w:rsidP="005165C5">
      <w:pPr>
        <w:pStyle w:val="box459495"/>
        <w:shd w:val="clear" w:color="auto" w:fill="FFFFFF"/>
        <w:spacing w:before="0" w:beforeAutospacing="0" w:after="0" w:afterAutospacing="0"/>
        <w:textAlignment w:val="baseline"/>
        <w:rPr>
          <w:rFonts w:asciiTheme="minorHAnsi" w:hAnsiTheme="minorHAnsi" w:cstheme="minorHAnsi"/>
          <w:color w:val="231F20"/>
        </w:rPr>
      </w:pPr>
    </w:p>
    <w:p w:rsidR="005165C5" w:rsidRDefault="005165C5" w:rsidP="005165C5">
      <w:pPr>
        <w:pStyle w:val="box459495"/>
        <w:shd w:val="clear" w:color="auto" w:fill="FFFFFF"/>
        <w:spacing w:before="0" w:beforeAutospacing="0" w:after="0" w:afterAutospacing="0"/>
        <w:textAlignment w:val="baseline"/>
        <w:rPr>
          <w:rFonts w:asciiTheme="minorHAnsi" w:hAnsiTheme="minorHAnsi" w:cstheme="minorHAnsi"/>
          <w:color w:val="231F20"/>
        </w:rPr>
      </w:pPr>
      <w:r>
        <w:rPr>
          <w:rFonts w:asciiTheme="minorHAnsi" w:hAnsiTheme="minorHAnsi" w:cstheme="minorHAnsi"/>
          <w:color w:val="231F20"/>
        </w:rPr>
        <w:t>– prepoznati povijesnu, kulturnu i estetsku vrijednost matematike njezinom primjenom u različitim disciplinama i djelatnostima kao i neizostavnu ulogu matematike u razvoju i dobrobiti društva.</w:t>
      </w:r>
    </w:p>
    <w:p w:rsidR="005165C5" w:rsidRDefault="005165C5" w:rsidP="005165C5">
      <w:pPr>
        <w:pStyle w:val="box459495"/>
        <w:shd w:val="clear" w:color="auto" w:fill="FFFFFF"/>
        <w:spacing w:before="0" w:beforeAutospacing="0" w:after="0" w:afterAutospacing="0"/>
        <w:textAlignment w:val="baseline"/>
        <w:rPr>
          <w:rFonts w:asciiTheme="minorHAnsi" w:hAnsiTheme="minorHAnsi" w:cstheme="minorHAnsi"/>
          <w:color w:val="231F20"/>
        </w:rPr>
      </w:pPr>
    </w:p>
    <w:p w:rsidR="005165C5" w:rsidRDefault="005165C5" w:rsidP="005165C5">
      <w:pPr>
        <w:pStyle w:val="box459495"/>
        <w:shd w:val="clear" w:color="auto" w:fill="FFFFFF"/>
        <w:spacing w:before="0" w:beforeAutospacing="0" w:after="0" w:afterAutospacing="0"/>
        <w:textAlignment w:val="baseline"/>
        <w:rPr>
          <w:rFonts w:asciiTheme="minorHAnsi" w:hAnsiTheme="minorHAnsi" w:cstheme="minorHAnsi"/>
          <w:color w:val="231F20"/>
        </w:rPr>
      </w:pPr>
    </w:p>
    <w:p w:rsidR="005165C5" w:rsidRDefault="006E690E" w:rsidP="005165C5">
      <w:hyperlink r:id="rId5" w:history="1">
        <w:r w:rsidR="005165C5" w:rsidRPr="005165C5">
          <w:rPr>
            <w:rStyle w:val="Hiperveza"/>
          </w:rPr>
          <w:t>Poveznica</w:t>
        </w:r>
      </w:hyperlink>
      <w:r w:rsidR="005165C5">
        <w:t xml:space="preserve"> vodi do kurikuluma predmeta matematike u kojemu možete saznati detaljno o svim promjenama.</w:t>
      </w:r>
    </w:p>
    <w:p w:rsidR="005165C5" w:rsidRDefault="005165C5" w:rsidP="005165C5"/>
    <w:p w:rsidR="005165C5" w:rsidRDefault="005165C5" w:rsidP="005165C5">
      <w:r>
        <w:t xml:space="preserve">Glavna novost je  da je težište učenja prebačeno s nastavnih sadržaja na ishode učenja, kojih u matematici u 5. razredu ima 17, s četiri razine usvojenosti svakog ishoda. Detalje o tome možete pročitati u dokumentu </w:t>
      </w:r>
      <w:r w:rsidRPr="007E4720">
        <w:rPr>
          <w:b/>
          <w:i/>
        </w:rPr>
        <w:t xml:space="preserve">Matematika- ishodi i razine </w:t>
      </w:r>
      <w:r w:rsidR="009B65E3" w:rsidRPr="007E4720">
        <w:rPr>
          <w:b/>
          <w:i/>
        </w:rPr>
        <w:t>5.razred</w:t>
      </w:r>
      <w:r>
        <w:t xml:space="preserve"> </w:t>
      </w:r>
      <w:r w:rsidR="009B65E3">
        <w:t>.</w:t>
      </w:r>
    </w:p>
    <w:p w:rsidR="007E4720" w:rsidRDefault="007E4720" w:rsidP="007E4720">
      <w:pPr>
        <w:pStyle w:val="box459495"/>
        <w:spacing w:line="276" w:lineRule="auto"/>
      </w:pPr>
      <w:r w:rsidRPr="007E4720">
        <w:rPr>
          <w:rFonts w:asciiTheme="minorHAnsi" w:hAnsiTheme="minorHAnsi" w:cstheme="minorHAnsi"/>
        </w:rPr>
        <w:t>U planiranju učenja i poučavanja matematike učitelj će vrijeme potrebno za poučavanje određenoga koncepta ili za razvijanje određenih vještina prilagoditi učenicima. Tijekom nastavne godine ostvarit će se svi ishodi učenja planirani za određeni razred, ali razina ostvarenosti ovisit će o mogućnostima učenika.</w:t>
      </w:r>
      <w:r>
        <w:t xml:space="preserve"> </w:t>
      </w:r>
      <w:r w:rsidRPr="007E4720">
        <w:rPr>
          <w:rFonts w:asciiTheme="minorHAnsi" w:hAnsiTheme="minorHAnsi" w:cstheme="minorHAnsi"/>
        </w:rPr>
        <w:t>Učitelj autonomno odabire sadržaje kojima će poticati ostvarivanje ishoda te, procjenjujući mogućnosti svojih učenika, određuje potrebno vrijeme kako bi se određeni koncepti usvojili s razumijevanjem.</w:t>
      </w:r>
      <w:r>
        <w:t xml:space="preserve"> </w:t>
      </w:r>
    </w:p>
    <w:p w:rsidR="009B65E3" w:rsidRDefault="009B65E3" w:rsidP="007E4720"/>
    <w:p w:rsidR="009B65E3" w:rsidRDefault="009B65E3" w:rsidP="005165C5"/>
    <w:p w:rsidR="007E4720" w:rsidRPr="007E4720" w:rsidRDefault="007E4720" w:rsidP="007E4720">
      <w:pPr>
        <w:pStyle w:val="box459495"/>
        <w:rPr>
          <w:rFonts w:asciiTheme="minorHAnsi" w:hAnsiTheme="minorHAnsi" w:cstheme="minorHAnsi"/>
          <w:b/>
        </w:rPr>
      </w:pPr>
      <w:r w:rsidRPr="007E4720">
        <w:rPr>
          <w:rFonts w:asciiTheme="minorHAnsi" w:hAnsiTheme="minorHAnsi" w:cstheme="minorHAnsi"/>
          <w:b/>
        </w:rPr>
        <w:lastRenderedPageBreak/>
        <w:t>VREDNOVANJE OSTVARENOSTI ODGOJNO-OBRAZOVNIH ISHODA</w:t>
      </w:r>
    </w:p>
    <w:p w:rsidR="007E4720" w:rsidRPr="007E4720" w:rsidRDefault="007E4720" w:rsidP="00B63687">
      <w:pPr>
        <w:pStyle w:val="box459495"/>
        <w:spacing w:line="276" w:lineRule="auto"/>
        <w:rPr>
          <w:rFonts w:asciiTheme="minorHAnsi" w:hAnsiTheme="minorHAnsi" w:cstheme="minorHAnsi"/>
        </w:rPr>
      </w:pPr>
      <w:r w:rsidRPr="007E4720">
        <w:rPr>
          <w:rFonts w:asciiTheme="minorHAnsi" w:hAnsiTheme="minorHAnsi" w:cstheme="minorHAnsi"/>
        </w:rPr>
        <w:t>U nastavnome predmetu Matematika vrednovanje je sastavni dio procesa učenja i poučavanja koje daje obavijest o razini usvojenosti matematičkih znanja, razvijenosti matematičkih vještina i potiče izgradnju pozitivnoga stava učenika prema učenju matematike. Učenike prije poučavanja na razumljiv način valja upoznati s očekivanim ishodima i kriterijima vrednovanja koji ukazuju na njihovu usvojenost. Što i kako se vrednuje, potrebno je unaprijed planirati i najaviti.</w:t>
      </w:r>
    </w:p>
    <w:p w:rsidR="007E4720" w:rsidRDefault="007E4720" w:rsidP="00B63687">
      <w:pPr>
        <w:pStyle w:val="box459495"/>
        <w:spacing w:line="276" w:lineRule="auto"/>
        <w:rPr>
          <w:rFonts w:asciiTheme="minorHAnsi" w:hAnsiTheme="minorHAnsi" w:cstheme="minorHAnsi"/>
        </w:rPr>
      </w:pPr>
      <w:r w:rsidRPr="007E4720">
        <w:rPr>
          <w:rFonts w:asciiTheme="minorHAnsi" w:hAnsiTheme="minorHAnsi" w:cstheme="minorHAnsi"/>
        </w:rPr>
        <w:t>Suvremenim pristupom vrednovanje treba biti instrument unaprjeđenja napretka učenika, ali i poučavanja učitelja i cijeloga odgojno-obrazovnoga sustava. Na taj način ono zahtijeva odgovornost svih sudionika procesa.</w:t>
      </w:r>
    </w:p>
    <w:p w:rsidR="00B63687" w:rsidRPr="007E4720" w:rsidRDefault="00B63687" w:rsidP="00B63687">
      <w:pPr>
        <w:pStyle w:val="box459495"/>
        <w:spacing w:line="276" w:lineRule="auto"/>
        <w:rPr>
          <w:rFonts w:asciiTheme="minorHAnsi" w:hAnsiTheme="minorHAnsi" w:cstheme="minorHAnsi"/>
        </w:rPr>
      </w:pPr>
      <w:r w:rsidRPr="00B63687">
        <w:rPr>
          <w:rFonts w:asciiTheme="minorHAnsi" w:hAnsiTheme="minorHAnsi" w:cstheme="minorHAnsi"/>
          <w:b/>
          <w:color w:val="C00000"/>
        </w:rPr>
        <w:t>VREDNOVANJE NAUČENOGA</w:t>
      </w:r>
      <w:r w:rsidRPr="00B63687">
        <w:rPr>
          <w:rFonts w:asciiTheme="minorHAnsi" w:hAnsiTheme="minorHAnsi" w:cstheme="minorHAnsi"/>
          <w:color w:val="C00000"/>
        </w:rPr>
        <w:t xml:space="preserve"> </w:t>
      </w:r>
      <w:r>
        <w:rPr>
          <w:rFonts w:asciiTheme="minorHAnsi" w:hAnsiTheme="minorHAnsi" w:cstheme="minorHAnsi"/>
          <w:color w:val="C00000"/>
        </w:rPr>
        <w:t xml:space="preserve"> </w:t>
      </w:r>
      <w:r w:rsidRPr="007E4720">
        <w:rPr>
          <w:rFonts w:asciiTheme="minorHAnsi" w:hAnsiTheme="minorHAnsi" w:cstheme="minorHAnsi"/>
        </w:rPr>
        <w:t>rezultira brojčanom ocjenom, a usvojenost se ishoda provjerava usmenim ispitivanjem, pismenim provjerama i matematičkim/interdisciplinarnim projektima. U jednoj provjeri moguće je ocijeniti više elemenata vrednovanja.</w:t>
      </w:r>
    </w:p>
    <w:p w:rsidR="00B63687" w:rsidRPr="007E4720" w:rsidRDefault="00B63687" w:rsidP="00B63687">
      <w:pPr>
        <w:pStyle w:val="box459495"/>
        <w:spacing w:line="276" w:lineRule="auto"/>
        <w:rPr>
          <w:rFonts w:asciiTheme="minorHAnsi" w:hAnsiTheme="minorHAnsi" w:cstheme="minorHAnsi"/>
        </w:rPr>
      </w:pPr>
      <w:r w:rsidRPr="007E4720">
        <w:rPr>
          <w:rFonts w:asciiTheme="minorHAnsi" w:hAnsiTheme="minorHAnsi" w:cstheme="minorHAnsi"/>
        </w:rPr>
        <w:t>U predmetu Matematika postignuća učenika vrednuju se brojčanom ocjenom (nedovoljan – 1, dovoljan – 2, dobar – 3, vrlo dobar – 4, odličan – 5).</w:t>
      </w:r>
    </w:p>
    <w:p w:rsidR="009B65E3" w:rsidRPr="009B65E3" w:rsidRDefault="009B65E3" w:rsidP="009B65E3">
      <w:pPr>
        <w:pStyle w:val="box459495"/>
        <w:rPr>
          <w:rFonts w:asciiTheme="minorHAnsi" w:hAnsiTheme="minorHAnsi" w:cstheme="minorHAnsi"/>
        </w:rPr>
      </w:pPr>
      <w:r w:rsidRPr="009B65E3">
        <w:rPr>
          <w:rFonts w:asciiTheme="minorHAnsi" w:hAnsiTheme="minorHAnsi" w:cstheme="minorHAnsi"/>
          <w:b/>
        </w:rPr>
        <w:t>ELEMENTI VREDNOVANJA</w:t>
      </w:r>
      <w:r w:rsidRPr="009B65E3">
        <w:rPr>
          <w:rFonts w:asciiTheme="minorHAnsi" w:hAnsiTheme="minorHAnsi" w:cstheme="minorHAnsi"/>
        </w:rPr>
        <w:t xml:space="preserve"> u nastavnome predmetu Matematika jesu:</w:t>
      </w:r>
    </w:p>
    <w:p w:rsidR="009B65E3" w:rsidRPr="009B65E3" w:rsidRDefault="009B65E3" w:rsidP="007E4720">
      <w:pPr>
        <w:pStyle w:val="box459495"/>
        <w:spacing w:before="0" w:beforeAutospacing="0" w:after="0" w:afterAutospacing="0" w:line="276" w:lineRule="auto"/>
        <w:rPr>
          <w:rFonts w:asciiTheme="minorHAnsi" w:hAnsiTheme="minorHAnsi" w:cstheme="minorHAnsi"/>
          <w:b/>
        </w:rPr>
      </w:pPr>
      <w:r w:rsidRPr="009B65E3">
        <w:rPr>
          <w:rStyle w:val="kurziv"/>
          <w:rFonts w:asciiTheme="minorHAnsi" w:hAnsiTheme="minorHAnsi" w:cstheme="minorHAnsi"/>
          <w:b/>
        </w:rPr>
        <w:t>1. Usvojenost znanja i vještina:</w:t>
      </w:r>
    </w:p>
    <w:p w:rsidR="009B65E3" w:rsidRPr="009B65E3" w:rsidRDefault="009B65E3" w:rsidP="007E4720">
      <w:pPr>
        <w:pStyle w:val="box459495"/>
        <w:spacing w:before="0" w:beforeAutospacing="0" w:after="0" w:afterAutospacing="0" w:line="276" w:lineRule="auto"/>
        <w:rPr>
          <w:rFonts w:asciiTheme="minorHAnsi" w:hAnsiTheme="minorHAnsi" w:cstheme="minorHAnsi"/>
        </w:rPr>
      </w:pPr>
      <w:r w:rsidRPr="009B65E3">
        <w:rPr>
          <w:rFonts w:asciiTheme="minorHAnsi" w:hAnsiTheme="minorHAnsi" w:cstheme="minorHAnsi"/>
        </w:rPr>
        <w:t>– opisuje matematičke pojmove</w:t>
      </w:r>
    </w:p>
    <w:p w:rsidR="009B65E3" w:rsidRPr="009B65E3" w:rsidRDefault="009B65E3" w:rsidP="007E4720">
      <w:pPr>
        <w:pStyle w:val="box459495"/>
        <w:spacing w:before="0" w:beforeAutospacing="0" w:after="0" w:afterAutospacing="0" w:line="276" w:lineRule="auto"/>
        <w:rPr>
          <w:rFonts w:asciiTheme="minorHAnsi" w:hAnsiTheme="minorHAnsi" w:cstheme="minorHAnsi"/>
        </w:rPr>
      </w:pPr>
      <w:r w:rsidRPr="009B65E3">
        <w:rPr>
          <w:rFonts w:asciiTheme="minorHAnsi" w:hAnsiTheme="minorHAnsi" w:cstheme="minorHAnsi"/>
        </w:rPr>
        <w:t>– odabire odgovarajuće i matematički ispravne procedure te ih provodi</w:t>
      </w:r>
    </w:p>
    <w:p w:rsidR="009B65E3" w:rsidRPr="009B65E3" w:rsidRDefault="009B65E3" w:rsidP="007E4720">
      <w:pPr>
        <w:pStyle w:val="box459495"/>
        <w:spacing w:before="0" w:beforeAutospacing="0" w:after="0" w:afterAutospacing="0" w:line="276" w:lineRule="auto"/>
        <w:rPr>
          <w:rFonts w:asciiTheme="minorHAnsi" w:hAnsiTheme="minorHAnsi" w:cstheme="minorHAnsi"/>
        </w:rPr>
      </w:pPr>
      <w:r w:rsidRPr="009B65E3">
        <w:rPr>
          <w:rFonts w:asciiTheme="minorHAnsi" w:hAnsiTheme="minorHAnsi" w:cstheme="minorHAnsi"/>
        </w:rPr>
        <w:t>– provjerava ispravnost matematičkih postupaka i utvrđuje smislenost rezultata</w:t>
      </w:r>
    </w:p>
    <w:p w:rsidR="009B65E3" w:rsidRDefault="009B65E3" w:rsidP="007E4720">
      <w:pPr>
        <w:pStyle w:val="box459495"/>
        <w:spacing w:before="0" w:beforeAutospacing="0" w:after="0" w:afterAutospacing="0" w:line="276" w:lineRule="auto"/>
        <w:rPr>
          <w:rFonts w:asciiTheme="minorHAnsi" w:hAnsiTheme="minorHAnsi" w:cstheme="minorHAnsi"/>
        </w:rPr>
      </w:pPr>
      <w:r w:rsidRPr="009B65E3">
        <w:rPr>
          <w:rFonts w:asciiTheme="minorHAnsi" w:hAnsiTheme="minorHAnsi" w:cstheme="minorHAnsi"/>
        </w:rPr>
        <w:t>– upotrebljava i povezuje matematičke koncepte.</w:t>
      </w:r>
    </w:p>
    <w:p w:rsidR="007E4720" w:rsidRPr="009B65E3" w:rsidRDefault="007E4720" w:rsidP="007E4720">
      <w:pPr>
        <w:pStyle w:val="box459495"/>
        <w:spacing w:before="0" w:beforeAutospacing="0" w:after="0" w:afterAutospacing="0" w:line="240" w:lineRule="exact"/>
        <w:rPr>
          <w:rFonts w:asciiTheme="minorHAnsi" w:hAnsiTheme="minorHAnsi" w:cstheme="minorHAnsi"/>
        </w:rPr>
      </w:pPr>
    </w:p>
    <w:p w:rsidR="009B65E3" w:rsidRPr="009B65E3" w:rsidRDefault="009B65E3" w:rsidP="007E4720">
      <w:pPr>
        <w:pStyle w:val="box459495"/>
        <w:spacing w:before="0" w:beforeAutospacing="0" w:after="0" w:afterAutospacing="0" w:line="276" w:lineRule="auto"/>
        <w:rPr>
          <w:rFonts w:asciiTheme="minorHAnsi" w:hAnsiTheme="minorHAnsi" w:cstheme="minorHAnsi"/>
          <w:b/>
        </w:rPr>
      </w:pPr>
      <w:r w:rsidRPr="009B65E3">
        <w:rPr>
          <w:rStyle w:val="kurziv"/>
          <w:rFonts w:asciiTheme="minorHAnsi" w:hAnsiTheme="minorHAnsi" w:cstheme="minorHAnsi"/>
          <w:b/>
        </w:rPr>
        <w:t>2. Matematička komunikacija:</w:t>
      </w:r>
    </w:p>
    <w:p w:rsidR="009B65E3" w:rsidRPr="009B65E3" w:rsidRDefault="009B65E3" w:rsidP="007E4720">
      <w:pPr>
        <w:pStyle w:val="box459495"/>
        <w:spacing w:before="0" w:beforeAutospacing="0" w:after="0" w:afterAutospacing="0" w:line="276" w:lineRule="auto"/>
        <w:rPr>
          <w:rFonts w:asciiTheme="minorHAnsi" w:hAnsiTheme="minorHAnsi" w:cstheme="minorHAnsi"/>
        </w:rPr>
      </w:pPr>
      <w:r w:rsidRPr="009B65E3">
        <w:rPr>
          <w:rFonts w:asciiTheme="minorHAnsi" w:hAnsiTheme="minorHAnsi" w:cstheme="minorHAnsi"/>
        </w:rPr>
        <w:t>– koristi se odgovarajućim matematičkim jezikom (standardni matematički simboli, zapisi i terminologija) pri usmenome i pisanome izražavanju</w:t>
      </w:r>
    </w:p>
    <w:p w:rsidR="009B65E3" w:rsidRPr="009B65E3" w:rsidRDefault="009B65E3" w:rsidP="007E4720">
      <w:pPr>
        <w:pStyle w:val="box459495"/>
        <w:spacing w:before="0" w:beforeAutospacing="0" w:after="0" w:afterAutospacing="0" w:line="276" w:lineRule="auto"/>
        <w:rPr>
          <w:rFonts w:asciiTheme="minorHAnsi" w:hAnsiTheme="minorHAnsi" w:cstheme="minorHAnsi"/>
        </w:rPr>
      </w:pPr>
      <w:r w:rsidRPr="009B65E3">
        <w:rPr>
          <w:rFonts w:asciiTheme="minorHAnsi" w:hAnsiTheme="minorHAnsi" w:cstheme="minorHAnsi"/>
        </w:rPr>
        <w:t>– koristi se odgovarajućim matematičkim prikazima za predstavljanje podataka</w:t>
      </w:r>
    </w:p>
    <w:p w:rsidR="009B65E3" w:rsidRPr="009B65E3" w:rsidRDefault="009B65E3" w:rsidP="007E4720">
      <w:pPr>
        <w:pStyle w:val="box459495"/>
        <w:spacing w:before="0" w:beforeAutospacing="0" w:after="0" w:afterAutospacing="0" w:line="276" w:lineRule="auto"/>
        <w:rPr>
          <w:rFonts w:asciiTheme="minorHAnsi" w:hAnsiTheme="minorHAnsi" w:cstheme="minorHAnsi"/>
        </w:rPr>
      </w:pPr>
      <w:r w:rsidRPr="009B65E3">
        <w:rPr>
          <w:rFonts w:asciiTheme="minorHAnsi" w:hAnsiTheme="minorHAnsi" w:cstheme="minorHAnsi"/>
        </w:rPr>
        <w:t>– prelazi između različitih matematičkih prikaza</w:t>
      </w:r>
    </w:p>
    <w:p w:rsidR="009B65E3" w:rsidRPr="009B65E3" w:rsidRDefault="009B65E3" w:rsidP="007E4720">
      <w:pPr>
        <w:pStyle w:val="box459495"/>
        <w:spacing w:before="0" w:beforeAutospacing="0" w:after="0" w:afterAutospacing="0" w:line="276" w:lineRule="auto"/>
        <w:rPr>
          <w:rFonts w:asciiTheme="minorHAnsi" w:hAnsiTheme="minorHAnsi" w:cstheme="minorHAnsi"/>
        </w:rPr>
      </w:pPr>
      <w:r w:rsidRPr="009B65E3">
        <w:rPr>
          <w:rFonts w:asciiTheme="minorHAnsi" w:hAnsiTheme="minorHAnsi" w:cstheme="minorHAnsi"/>
        </w:rPr>
        <w:t>– svoje razmišljanje iznosi cjelovitim, suvislim i sažetim matematičkim rečenicama</w:t>
      </w:r>
    </w:p>
    <w:p w:rsidR="009B65E3" w:rsidRPr="009B65E3" w:rsidRDefault="009B65E3" w:rsidP="007E4720">
      <w:pPr>
        <w:pStyle w:val="box459495"/>
        <w:spacing w:before="0" w:beforeAutospacing="0" w:after="0" w:afterAutospacing="0" w:line="276" w:lineRule="auto"/>
        <w:rPr>
          <w:rFonts w:asciiTheme="minorHAnsi" w:hAnsiTheme="minorHAnsi" w:cstheme="minorHAnsi"/>
        </w:rPr>
      </w:pPr>
      <w:r w:rsidRPr="009B65E3">
        <w:rPr>
          <w:rFonts w:asciiTheme="minorHAnsi" w:hAnsiTheme="minorHAnsi" w:cstheme="minorHAnsi"/>
        </w:rPr>
        <w:t>– postavlja pitanja i odgovara na pitanja koja nadilaze opseg izvorno postavljenoga pitanja</w:t>
      </w:r>
    </w:p>
    <w:p w:rsidR="009B65E3" w:rsidRPr="009B65E3" w:rsidRDefault="009B65E3" w:rsidP="007E4720">
      <w:pPr>
        <w:pStyle w:val="box459495"/>
        <w:spacing w:before="0" w:beforeAutospacing="0" w:after="0" w:afterAutospacing="0" w:line="276" w:lineRule="auto"/>
        <w:rPr>
          <w:rFonts w:asciiTheme="minorHAnsi" w:hAnsiTheme="minorHAnsi" w:cstheme="minorHAnsi"/>
        </w:rPr>
      </w:pPr>
      <w:r w:rsidRPr="009B65E3">
        <w:rPr>
          <w:rFonts w:asciiTheme="minorHAnsi" w:hAnsiTheme="minorHAnsi" w:cstheme="minorHAnsi"/>
        </w:rPr>
        <w:t>– organizira informacije u logičku strukturu</w:t>
      </w:r>
    </w:p>
    <w:p w:rsidR="009B65E3" w:rsidRDefault="009B65E3" w:rsidP="007E4720">
      <w:pPr>
        <w:pStyle w:val="box459495"/>
        <w:spacing w:before="0" w:beforeAutospacing="0" w:after="0" w:afterAutospacing="0" w:line="276" w:lineRule="auto"/>
        <w:rPr>
          <w:rFonts w:asciiTheme="minorHAnsi" w:hAnsiTheme="minorHAnsi" w:cstheme="minorHAnsi"/>
        </w:rPr>
      </w:pPr>
      <w:r w:rsidRPr="009B65E3">
        <w:rPr>
          <w:rFonts w:asciiTheme="minorHAnsi" w:hAnsiTheme="minorHAnsi" w:cstheme="minorHAnsi"/>
        </w:rPr>
        <w:t>– primjereno se koristi tehnologijom.</w:t>
      </w:r>
    </w:p>
    <w:p w:rsidR="007E4720" w:rsidRPr="009B65E3" w:rsidRDefault="007E4720" w:rsidP="007E4720">
      <w:pPr>
        <w:pStyle w:val="box459495"/>
        <w:spacing w:before="0" w:beforeAutospacing="0" w:after="0" w:afterAutospacing="0" w:line="240" w:lineRule="exact"/>
        <w:rPr>
          <w:rFonts w:asciiTheme="minorHAnsi" w:hAnsiTheme="minorHAnsi" w:cstheme="minorHAnsi"/>
        </w:rPr>
      </w:pPr>
    </w:p>
    <w:p w:rsidR="009B65E3" w:rsidRPr="009B65E3" w:rsidRDefault="009B65E3" w:rsidP="007E4720">
      <w:pPr>
        <w:pStyle w:val="box459495"/>
        <w:spacing w:before="0" w:beforeAutospacing="0" w:after="0" w:afterAutospacing="0" w:line="276" w:lineRule="auto"/>
        <w:rPr>
          <w:rFonts w:asciiTheme="minorHAnsi" w:hAnsiTheme="minorHAnsi" w:cstheme="minorHAnsi"/>
          <w:b/>
        </w:rPr>
      </w:pPr>
      <w:r w:rsidRPr="009B65E3">
        <w:rPr>
          <w:rStyle w:val="kurziv"/>
          <w:rFonts w:asciiTheme="minorHAnsi" w:hAnsiTheme="minorHAnsi" w:cstheme="minorHAnsi"/>
          <w:b/>
        </w:rPr>
        <w:t>3. Rješavanje problema:</w:t>
      </w:r>
    </w:p>
    <w:p w:rsidR="009B65E3" w:rsidRPr="009B65E3" w:rsidRDefault="009B65E3" w:rsidP="007E4720">
      <w:pPr>
        <w:pStyle w:val="box459495"/>
        <w:spacing w:before="0" w:beforeAutospacing="0" w:after="0" w:afterAutospacing="0" w:line="276" w:lineRule="auto"/>
        <w:rPr>
          <w:rFonts w:asciiTheme="minorHAnsi" w:hAnsiTheme="minorHAnsi" w:cstheme="minorHAnsi"/>
        </w:rPr>
      </w:pPr>
      <w:r w:rsidRPr="009B65E3">
        <w:rPr>
          <w:rFonts w:asciiTheme="minorHAnsi" w:hAnsiTheme="minorHAnsi" w:cstheme="minorHAnsi"/>
        </w:rPr>
        <w:t>– prepoznaje relevantne elemente problema i naslućuje metode rješavanja</w:t>
      </w:r>
    </w:p>
    <w:p w:rsidR="009B65E3" w:rsidRPr="009B65E3" w:rsidRDefault="009B65E3" w:rsidP="007E4720">
      <w:pPr>
        <w:pStyle w:val="box459495"/>
        <w:spacing w:before="0" w:beforeAutospacing="0" w:after="0" w:afterAutospacing="0" w:line="276" w:lineRule="auto"/>
        <w:rPr>
          <w:rFonts w:asciiTheme="minorHAnsi" w:hAnsiTheme="minorHAnsi" w:cstheme="minorHAnsi"/>
        </w:rPr>
      </w:pPr>
      <w:r w:rsidRPr="009B65E3">
        <w:rPr>
          <w:rFonts w:asciiTheme="minorHAnsi" w:hAnsiTheme="minorHAnsi" w:cstheme="minorHAnsi"/>
        </w:rPr>
        <w:t>– uspješno primjenjuje odabranu matematičku metodu pri rješavanju problema</w:t>
      </w:r>
    </w:p>
    <w:p w:rsidR="009B65E3" w:rsidRPr="009B65E3" w:rsidRDefault="009B65E3" w:rsidP="007E4720">
      <w:pPr>
        <w:pStyle w:val="box459495"/>
        <w:spacing w:before="0" w:beforeAutospacing="0" w:after="0" w:afterAutospacing="0" w:line="276" w:lineRule="auto"/>
        <w:rPr>
          <w:rFonts w:asciiTheme="minorHAnsi" w:hAnsiTheme="minorHAnsi" w:cstheme="minorHAnsi"/>
        </w:rPr>
      </w:pPr>
      <w:r w:rsidRPr="009B65E3">
        <w:rPr>
          <w:rFonts w:asciiTheme="minorHAnsi" w:hAnsiTheme="minorHAnsi" w:cstheme="minorHAnsi"/>
        </w:rPr>
        <w:t>– modelira matematičkim zakonitostima problemske situacije uz raspravu</w:t>
      </w:r>
    </w:p>
    <w:p w:rsidR="009B65E3" w:rsidRPr="009B65E3" w:rsidRDefault="009B65E3" w:rsidP="007E4720">
      <w:pPr>
        <w:pStyle w:val="box459495"/>
        <w:spacing w:before="0" w:beforeAutospacing="0" w:after="0" w:afterAutospacing="0" w:line="276" w:lineRule="auto"/>
        <w:rPr>
          <w:rFonts w:asciiTheme="minorHAnsi" w:hAnsiTheme="minorHAnsi" w:cstheme="minorHAnsi"/>
        </w:rPr>
      </w:pPr>
      <w:r w:rsidRPr="009B65E3">
        <w:rPr>
          <w:rFonts w:asciiTheme="minorHAnsi" w:hAnsiTheme="minorHAnsi" w:cstheme="minorHAnsi"/>
        </w:rPr>
        <w:t>– ispravno rješava probleme u različitim kontekstima</w:t>
      </w:r>
    </w:p>
    <w:p w:rsidR="009B65E3" w:rsidRPr="009B65E3" w:rsidRDefault="009B65E3" w:rsidP="007E4720">
      <w:pPr>
        <w:pStyle w:val="box459495"/>
        <w:spacing w:before="0" w:beforeAutospacing="0" w:after="0" w:afterAutospacing="0" w:line="276" w:lineRule="auto"/>
        <w:rPr>
          <w:rFonts w:asciiTheme="minorHAnsi" w:hAnsiTheme="minorHAnsi" w:cstheme="minorHAnsi"/>
        </w:rPr>
      </w:pPr>
      <w:r w:rsidRPr="009B65E3">
        <w:rPr>
          <w:rFonts w:asciiTheme="minorHAnsi" w:hAnsiTheme="minorHAnsi" w:cstheme="minorHAnsi"/>
        </w:rPr>
        <w:t>– provjerava ispravnost matematičkih postupaka i utvrđuje smislenost rješenja problema</w:t>
      </w:r>
    </w:p>
    <w:p w:rsidR="009B65E3" w:rsidRDefault="009B65E3" w:rsidP="007E4720">
      <w:pPr>
        <w:pStyle w:val="box459495"/>
        <w:spacing w:before="0" w:beforeAutospacing="0" w:after="0" w:afterAutospacing="0" w:line="276" w:lineRule="auto"/>
        <w:rPr>
          <w:rFonts w:asciiTheme="minorHAnsi" w:hAnsiTheme="minorHAnsi" w:cstheme="minorHAnsi"/>
        </w:rPr>
      </w:pPr>
      <w:r w:rsidRPr="009B65E3">
        <w:rPr>
          <w:rFonts w:asciiTheme="minorHAnsi" w:hAnsiTheme="minorHAnsi" w:cstheme="minorHAnsi"/>
        </w:rPr>
        <w:t>– generalizira rješenje.</w:t>
      </w:r>
    </w:p>
    <w:p w:rsidR="007E4720" w:rsidRPr="009B65E3" w:rsidRDefault="007E4720" w:rsidP="007E4720">
      <w:pPr>
        <w:pStyle w:val="box459495"/>
        <w:spacing w:before="0" w:beforeAutospacing="0" w:after="0" w:afterAutospacing="0" w:line="276" w:lineRule="auto"/>
        <w:rPr>
          <w:rFonts w:asciiTheme="minorHAnsi" w:hAnsiTheme="minorHAnsi" w:cstheme="minorHAnsi"/>
        </w:rPr>
      </w:pPr>
    </w:p>
    <w:p w:rsidR="005165C5" w:rsidRDefault="009B65E3" w:rsidP="007E4720">
      <w:pPr>
        <w:rPr>
          <w:rFonts w:cstheme="minorHAnsi"/>
          <w:szCs w:val="24"/>
        </w:rPr>
      </w:pPr>
      <w:r w:rsidRPr="00B63687">
        <w:rPr>
          <w:rFonts w:cstheme="minorHAnsi"/>
          <w:b/>
          <w:color w:val="C00000"/>
          <w:szCs w:val="24"/>
        </w:rPr>
        <w:lastRenderedPageBreak/>
        <w:t>Vrednovanje za učenje i vrednovanje kao učenje</w:t>
      </w:r>
      <w:r w:rsidRPr="00B63687">
        <w:rPr>
          <w:rFonts w:cstheme="minorHAnsi"/>
          <w:color w:val="C00000"/>
          <w:szCs w:val="24"/>
        </w:rPr>
        <w:t xml:space="preserve"> </w:t>
      </w:r>
      <w:r w:rsidRPr="009B65E3">
        <w:rPr>
          <w:rFonts w:cstheme="minorHAnsi"/>
          <w:szCs w:val="24"/>
        </w:rPr>
        <w:t>provodi se prikupljanjem podataka o učenikovu radu i postignućima (ciljana pitanja, rad u skupini, domaće zadaće, kratke pisane provjere, prezentacije...) i kritičkim osvrtom učenika i učitelja na proces učenja i poučavanja. Učenika se skupnim raspravama na satu i individualnim konzultacijama potiče na samovrednovanje postignuća i planiranje učenja. Ti oblici vrednovanja iskazuju se opisno i služe kao jasna povratna informacija učeniku i roditelju o razini usvojenosti ishoda u odnosu na očekivanja. Učitelji imaju autonomiju i odgovornost izabrati najprikladnije metode i tehnike vrednovanja unutar pojedinih pristupa vrednovanju.</w:t>
      </w:r>
    </w:p>
    <w:p w:rsidR="007E4720" w:rsidRDefault="007E4720" w:rsidP="007E4720">
      <w:pPr>
        <w:rPr>
          <w:rFonts w:cstheme="minorHAnsi"/>
          <w:szCs w:val="24"/>
        </w:rPr>
      </w:pPr>
    </w:p>
    <w:p w:rsidR="007E4720" w:rsidRPr="00B63687" w:rsidRDefault="00B63687" w:rsidP="007E4720">
      <w:pPr>
        <w:pStyle w:val="box459495"/>
        <w:spacing w:before="0" w:beforeAutospacing="0" w:after="0" w:afterAutospacing="0"/>
        <w:rPr>
          <w:rFonts w:asciiTheme="minorHAnsi" w:hAnsiTheme="minorHAnsi" w:cstheme="minorHAnsi"/>
          <w:b/>
          <w:color w:val="C00000"/>
        </w:rPr>
      </w:pPr>
      <w:r w:rsidRPr="00B63687">
        <w:rPr>
          <w:rFonts w:asciiTheme="minorHAnsi" w:hAnsiTheme="minorHAnsi" w:cstheme="minorHAnsi"/>
          <w:b/>
          <w:color w:val="C00000"/>
        </w:rPr>
        <w:t>VREDNOVANJE ZA UČENJE</w:t>
      </w:r>
    </w:p>
    <w:p w:rsidR="007E4720" w:rsidRPr="007E4720" w:rsidRDefault="007E4720" w:rsidP="007E4720">
      <w:pPr>
        <w:pStyle w:val="box459495"/>
        <w:spacing w:before="0" w:beforeAutospacing="0" w:after="0" w:afterAutospacing="0"/>
        <w:rPr>
          <w:rFonts w:asciiTheme="minorHAnsi" w:hAnsiTheme="minorHAnsi" w:cstheme="minorHAnsi"/>
          <w:b/>
        </w:rPr>
      </w:pP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Vrednovanje za učenje odvija se tijekom učenja i poučavanja. Odnosi se na proces prikupljanja informacija i dokaza o procesu učenja te na interpretacije tih informacija i dokaza kako bi učenici unaprijedili proces učenja, a učitelji poučavanje. Vrednovanjem za učenje primjenom različitih metoda učenicima se pruža mogućnost da tijekom procesa učenja steknu uvid u to kako mogu unaprijediti svoje učenje da bi ostvarili ciljeve učenja, čime</w:t>
      </w: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se naglasak stavlja na sam proces učenja. Vrednovanje za učenje u pravilu ne rezultira ocjenom, nego kvalitativnom povratnom informacijom i razmjenom iskustava o procesima učenja i usvojenosti znanja i vještina u odnosu na postavljena očekivanja. Povratna je informacija središnji dio vrednovanja za učenje jer učeniku omogućuje preuzimanje kontrole nad vlastitim učenjem. Vrednovanje za učenje uvijek je usmjereno na napredak učenika pa se trenutačna postignuća svakoga učenika uspoređuju s njegovim prethodnim postignućima fokusirajući se na napredovanje koje je učenik ostvario u odnosu na postavljene odgojno-obrazovne ishode (kriterijsko vrednovanje).</w:t>
      </w:r>
    </w:p>
    <w:p w:rsidR="007E4720" w:rsidRDefault="007E4720" w:rsidP="007E4720">
      <w:pPr>
        <w:pStyle w:val="box459495"/>
        <w:spacing w:before="0" w:beforeAutospacing="0" w:after="0" w:afterAutospacing="0"/>
        <w:rPr>
          <w:rFonts w:asciiTheme="minorHAnsi" w:hAnsiTheme="minorHAnsi" w:cstheme="minorHAnsi"/>
        </w:rPr>
      </w:pP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Učiteljima vrednovanje za učenje pomaže u:</w:t>
      </w: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 xml:space="preserve">– prikupljanju informacija o početnim znanjima i iskustvima učenika, eventualnim </w:t>
      </w:r>
      <w:proofErr w:type="spellStart"/>
      <w:r w:rsidRPr="007E4720">
        <w:rPr>
          <w:rFonts w:asciiTheme="minorHAnsi" w:hAnsiTheme="minorHAnsi" w:cstheme="minorHAnsi"/>
        </w:rPr>
        <w:t>miskoncepcijama</w:t>
      </w:r>
      <w:proofErr w:type="spellEnd"/>
      <w:r w:rsidRPr="007E4720">
        <w:rPr>
          <w:rFonts w:asciiTheme="minorHAnsi" w:hAnsiTheme="minorHAnsi" w:cstheme="minorHAnsi"/>
        </w:rPr>
        <w:t>, stilovima učenja učenika, o razinama usvojenosti znanja, motivaciji za učenje i drugo</w:t>
      </w: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 postavljanju ciljeva i planiranju poučavanja u skladu s potrebama učenika</w:t>
      </w: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 dobivanju uvida u učinkovitost vlastita rada, učinkovitijem planiranju i kontinuiranome unaprjeđenju procesa poučavanja.</w:t>
      </w:r>
    </w:p>
    <w:p w:rsidR="007E4720" w:rsidRDefault="007E4720" w:rsidP="007E4720">
      <w:pPr>
        <w:pStyle w:val="box459495"/>
        <w:spacing w:before="0" w:beforeAutospacing="0" w:after="0" w:afterAutospacing="0"/>
        <w:rPr>
          <w:rFonts w:asciiTheme="minorHAnsi" w:hAnsiTheme="minorHAnsi" w:cstheme="minorHAnsi"/>
        </w:rPr>
      </w:pP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Učenicima vrednovanje za učenje pomaže da:</w:t>
      </w: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 postanu svjesni koliko učinkovito uče te uvide kako trebaju učiti</w:t>
      </w: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 unapređuju kompetenciju učiti kako učiti postavljanjem svojih ciljeva učenja i razvijanjem vještina</w:t>
      </w: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 imaju bolja postignuća jer primaju česte povratne informacije koliko napreduju i koliko učinkovito uče</w:t>
      </w: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 razvijaju motivaciju za učenje, samopouzdanje i pozitivnu sliku o sebi.</w:t>
      </w:r>
    </w:p>
    <w:p w:rsidR="007E4720" w:rsidRDefault="007E4720" w:rsidP="007E4720">
      <w:pPr>
        <w:rPr>
          <w:rFonts w:cstheme="minorHAnsi"/>
          <w:szCs w:val="24"/>
        </w:rPr>
      </w:pPr>
    </w:p>
    <w:p w:rsidR="007E4720" w:rsidRPr="00B63687" w:rsidRDefault="00B63687" w:rsidP="007E4720">
      <w:pPr>
        <w:pStyle w:val="box459495"/>
        <w:rPr>
          <w:rFonts w:asciiTheme="minorHAnsi" w:hAnsiTheme="minorHAnsi" w:cstheme="minorHAnsi"/>
          <w:b/>
          <w:color w:val="C00000"/>
        </w:rPr>
      </w:pPr>
      <w:r w:rsidRPr="00B63687">
        <w:rPr>
          <w:rFonts w:asciiTheme="minorHAnsi" w:hAnsiTheme="minorHAnsi" w:cstheme="minorHAnsi"/>
          <w:b/>
          <w:color w:val="C00000"/>
        </w:rPr>
        <w:t>VREDNOVANJE KAO UČENJE</w:t>
      </w:r>
    </w:p>
    <w:p w:rsidR="007E4720" w:rsidRDefault="007E4720" w:rsidP="007E4720">
      <w:pPr>
        <w:pStyle w:val="box459495"/>
        <w:rPr>
          <w:rFonts w:asciiTheme="minorHAnsi" w:hAnsiTheme="minorHAnsi" w:cstheme="minorHAnsi"/>
        </w:rPr>
      </w:pPr>
      <w:r w:rsidRPr="007E4720">
        <w:rPr>
          <w:rFonts w:asciiTheme="minorHAnsi" w:hAnsiTheme="minorHAnsi" w:cstheme="minorHAnsi"/>
        </w:rPr>
        <w:t>Vrednovanje kao učenje temelji se na ideji da učenici vrednovanjem uče. Ono podrazumijeva aktivno uključivanje učenika u proces vrednovanja uz podršku učitelja kako bi se maksimalno poticao razvoj učenikova samostalnog i samoreguliranog pristupa učenju. Kad se učenici i sami uključe u proces vrednovanja, on će im vjerojatno biti manje stresan i rizičan. Vrednovanje kao učenje jest oblik partnerstva učenika i učitelja u kojemu je učenik aktivan i odgovaran nositelj vlastitoga učenja i vrednovanja, a učitelj stvara uvjete za učenje i prema potrebi ga usmjerava. Učitelj pomaže učeniku razumjeti kriterije za samovrednovanje, vodi proces samorefleksije i pomaže pri donošenju odluke kako unaprijediti učenje. S obzirom na svrhu ove vrste vrednovanja, povratnu informaciju kod vrednovanja kao učenja daju učenik, drugi učenici, a u manjoj mjeri i učitelj.</w:t>
      </w: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lastRenderedPageBreak/>
        <w:t>Učiteljima vrednovanje kao učenje pomaže u:</w:t>
      </w: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 podjeli odgovornosti za učenje između učitelja i učenika</w:t>
      </w: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 dobivanju uvida u učenikovo razmišljanje pri analizi i vrednovanju procesa učenja</w:t>
      </w: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 kreiranju učinkovitijega poučavanja jer učenici postaju samostalniji i motiviraniji.</w:t>
      </w:r>
    </w:p>
    <w:p w:rsidR="007E4720" w:rsidRDefault="007E4720" w:rsidP="007E4720">
      <w:pPr>
        <w:pStyle w:val="box459495"/>
        <w:spacing w:before="0" w:beforeAutospacing="0" w:after="0" w:afterAutospacing="0"/>
        <w:rPr>
          <w:rFonts w:asciiTheme="minorHAnsi" w:hAnsiTheme="minorHAnsi" w:cstheme="minorHAnsi"/>
        </w:rPr>
      </w:pP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Učenicima vrednovanje kao učenje pomaže da:</w:t>
      </w: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 shvate da je vrednovanje alat za vlastito praćenje učenja i za stjecanje razumijevanje na kojoj se razini učenja nalaze</w:t>
      </w: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 usklađuju vlastite procjene s procjenama drugih</w:t>
      </w: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 razvijaju vještinu upravljanja svojim učenjem, postavljanja vlastitih ciljeva i razvijanja vještine samovrednovanja i vršnjačkoga vrednovanja potrebnih za postizanje tih ciljeva</w:t>
      </w:r>
    </w:p>
    <w:p w:rsidR="007E4720" w:rsidRPr="007E4720" w:rsidRDefault="007E4720" w:rsidP="007E4720">
      <w:pPr>
        <w:pStyle w:val="box459495"/>
        <w:spacing w:before="0" w:beforeAutospacing="0" w:after="0" w:afterAutospacing="0"/>
        <w:rPr>
          <w:rFonts w:asciiTheme="minorHAnsi" w:hAnsiTheme="minorHAnsi" w:cstheme="minorHAnsi"/>
        </w:rPr>
      </w:pPr>
      <w:r w:rsidRPr="007E4720">
        <w:rPr>
          <w:rFonts w:asciiTheme="minorHAnsi" w:hAnsiTheme="minorHAnsi" w:cstheme="minorHAnsi"/>
        </w:rPr>
        <w:t>– razvijaju osjećaj odgovornosti i samopouzdanja istodobno razvijajući kritičko razmišljanje, analizu i na kraju vrednovanje.</w:t>
      </w:r>
    </w:p>
    <w:p w:rsidR="007E4720" w:rsidRDefault="007E4720" w:rsidP="007E4720">
      <w:pPr>
        <w:pStyle w:val="box459495"/>
        <w:rPr>
          <w:rFonts w:asciiTheme="minorHAnsi" w:hAnsiTheme="minorHAnsi" w:cstheme="minorHAnsi"/>
        </w:rPr>
      </w:pPr>
    </w:p>
    <w:p w:rsidR="006E690E" w:rsidRDefault="006E690E" w:rsidP="007E4720">
      <w:pPr>
        <w:pStyle w:val="box459495"/>
        <w:rPr>
          <w:rFonts w:asciiTheme="minorHAnsi" w:hAnsiTheme="minorHAnsi" w:cstheme="minorHAnsi"/>
        </w:rPr>
      </w:pPr>
    </w:p>
    <w:p w:rsidR="006E690E" w:rsidRPr="006E690E" w:rsidRDefault="006E690E" w:rsidP="006E690E">
      <w:pPr>
        <w:pStyle w:val="box459495"/>
        <w:spacing w:line="276" w:lineRule="auto"/>
        <w:rPr>
          <w:rFonts w:asciiTheme="minorHAnsi" w:hAnsiTheme="minorHAnsi" w:cstheme="minorHAnsi"/>
        </w:rPr>
      </w:pPr>
      <w:r>
        <w:rPr>
          <w:rFonts w:asciiTheme="minorHAnsi" w:hAnsiTheme="minorHAnsi" w:cstheme="minorHAnsi"/>
        </w:rPr>
        <w:t xml:space="preserve">U dokumentu </w:t>
      </w:r>
      <w:r w:rsidRPr="006E690E">
        <w:rPr>
          <w:rFonts w:asciiTheme="minorHAnsi" w:hAnsiTheme="minorHAnsi" w:cstheme="minorHAnsi"/>
          <w:b/>
          <w:i/>
          <w:color w:val="31849B" w:themeColor="accent5" w:themeShade="BF"/>
        </w:rPr>
        <w:t>ŠK5. ispitni katalog 290819</w:t>
      </w:r>
      <w:r>
        <w:rPr>
          <w:rFonts w:asciiTheme="minorHAnsi" w:hAnsiTheme="minorHAnsi" w:cstheme="minorHAnsi"/>
          <w:b/>
          <w:i/>
          <w:color w:val="31849B" w:themeColor="accent5" w:themeShade="BF"/>
        </w:rPr>
        <w:t xml:space="preserve"> </w:t>
      </w:r>
      <w:r w:rsidRPr="006E690E">
        <w:rPr>
          <w:rFonts w:asciiTheme="minorHAnsi" w:hAnsiTheme="minorHAnsi" w:cstheme="minorHAnsi"/>
        </w:rPr>
        <w:t>možete vidjeti primjere zadataka za pismene provjere te</w:t>
      </w:r>
      <w:r>
        <w:rPr>
          <w:rFonts w:asciiTheme="minorHAnsi" w:hAnsiTheme="minorHAnsi" w:cstheme="minorHAnsi"/>
        </w:rPr>
        <w:t xml:space="preserve"> način bodovanja zadataka po elementima ocjenjivanja.</w:t>
      </w:r>
      <w:bookmarkStart w:id="0" w:name="_GoBack"/>
      <w:bookmarkEnd w:id="0"/>
    </w:p>
    <w:p w:rsidR="00D33E64" w:rsidRDefault="00D33E64" w:rsidP="007E4720">
      <w:pPr>
        <w:pStyle w:val="box459495"/>
        <w:rPr>
          <w:rFonts w:asciiTheme="minorHAnsi" w:hAnsiTheme="minorHAnsi" w:cstheme="minorHAnsi"/>
        </w:rPr>
      </w:pPr>
    </w:p>
    <w:p w:rsidR="00D33E64" w:rsidRDefault="00D33E64" w:rsidP="007E4720">
      <w:pPr>
        <w:pStyle w:val="box459495"/>
        <w:rPr>
          <w:rFonts w:asciiTheme="minorHAnsi" w:hAnsiTheme="minorHAnsi" w:cstheme="minorHAnsi"/>
        </w:rPr>
      </w:pPr>
    </w:p>
    <w:p w:rsidR="00D33E64" w:rsidRDefault="00D33E64" w:rsidP="00D33E64">
      <w:pPr>
        <w:pStyle w:val="box459495"/>
        <w:jc w:val="right"/>
        <w:rPr>
          <w:rFonts w:asciiTheme="minorHAnsi" w:hAnsiTheme="minorHAnsi" w:cstheme="minorHAnsi"/>
        </w:rPr>
      </w:pPr>
      <w:r>
        <w:rPr>
          <w:rFonts w:asciiTheme="minorHAnsi" w:hAnsiTheme="minorHAnsi" w:cstheme="minorHAnsi"/>
        </w:rPr>
        <w:t>Učiteljice matematike u OŠ Marije Jurić Zagorke:</w:t>
      </w:r>
    </w:p>
    <w:p w:rsidR="00D33E64" w:rsidRDefault="00D33E64" w:rsidP="00D33E64">
      <w:pPr>
        <w:pStyle w:val="box459495"/>
        <w:ind w:left="708" w:firstLine="708"/>
        <w:jc w:val="right"/>
        <w:rPr>
          <w:rFonts w:asciiTheme="minorHAnsi" w:hAnsiTheme="minorHAnsi" w:cstheme="minorHAnsi"/>
        </w:rPr>
      </w:pPr>
      <w:r>
        <w:rPr>
          <w:rFonts w:asciiTheme="minorHAnsi" w:hAnsiTheme="minorHAnsi" w:cstheme="minorHAnsi"/>
        </w:rPr>
        <w:t>Silvija Balent</w:t>
      </w:r>
    </w:p>
    <w:p w:rsidR="00D33E64" w:rsidRDefault="00D33E64" w:rsidP="00D33E64">
      <w:pPr>
        <w:pStyle w:val="box459495"/>
        <w:ind w:left="708" w:firstLine="708"/>
        <w:jc w:val="right"/>
        <w:rPr>
          <w:rFonts w:asciiTheme="minorHAnsi" w:hAnsiTheme="minorHAnsi" w:cstheme="minorHAnsi"/>
        </w:rPr>
      </w:pPr>
      <w:r>
        <w:rPr>
          <w:rFonts w:asciiTheme="minorHAnsi" w:hAnsiTheme="minorHAnsi" w:cstheme="minorHAnsi"/>
        </w:rPr>
        <w:t>Dragana Koren Filipović</w:t>
      </w:r>
    </w:p>
    <w:p w:rsidR="00D33E64" w:rsidRDefault="00D33E64" w:rsidP="00D33E64">
      <w:pPr>
        <w:pStyle w:val="box459495"/>
        <w:ind w:left="708" w:firstLine="708"/>
        <w:jc w:val="right"/>
        <w:rPr>
          <w:rFonts w:asciiTheme="minorHAnsi" w:hAnsiTheme="minorHAnsi" w:cstheme="minorHAnsi"/>
        </w:rPr>
      </w:pPr>
      <w:r>
        <w:rPr>
          <w:rFonts w:asciiTheme="minorHAnsi" w:hAnsiTheme="minorHAnsi" w:cstheme="minorHAnsi"/>
        </w:rPr>
        <w:t>Sanjica Kroflin</w:t>
      </w:r>
    </w:p>
    <w:p w:rsidR="00D33E64" w:rsidRPr="007E4720" w:rsidRDefault="00D33E64" w:rsidP="00D33E64">
      <w:pPr>
        <w:pStyle w:val="box459495"/>
        <w:ind w:left="708" w:firstLine="708"/>
        <w:jc w:val="right"/>
        <w:rPr>
          <w:rFonts w:asciiTheme="minorHAnsi" w:hAnsiTheme="minorHAnsi" w:cstheme="minorHAnsi"/>
        </w:rPr>
      </w:pPr>
      <w:r>
        <w:rPr>
          <w:rFonts w:asciiTheme="minorHAnsi" w:hAnsiTheme="minorHAnsi" w:cstheme="minorHAnsi"/>
        </w:rPr>
        <w:t>Zvjezdana Kulaš</w:t>
      </w:r>
    </w:p>
    <w:p w:rsidR="007E4720" w:rsidRPr="009B65E3" w:rsidRDefault="007E4720" w:rsidP="007E4720">
      <w:pPr>
        <w:rPr>
          <w:rFonts w:cstheme="minorHAnsi"/>
          <w:szCs w:val="24"/>
        </w:rPr>
      </w:pPr>
    </w:p>
    <w:sectPr w:rsidR="007E4720" w:rsidRPr="009B65E3" w:rsidSect="005165C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C5"/>
    <w:rsid w:val="005165C5"/>
    <w:rsid w:val="006E690E"/>
    <w:rsid w:val="00706B26"/>
    <w:rsid w:val="007E4720"/>
    <w:rsid w:val="00896E1C"/>
    <w:rsid w:val="009B65E3"/>
    <w:rsid w:val="00B63687"/>
    <w:rsid w:val="00D33E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495">
    <w:name w:val="box_459495"/>
    <w:basedOn w:val="Normal"/>
    <w:rsid w:val="005165C5"/>
    <w:pPr>
      <w:spacing w:before="100" w:beforeAutospacing="1" w:after="100" w:afterAutospacing="1" w:line="240" w:lineRule="auto"/>
    </w:pPr>
    <w:rPr>
      <w:rFonts w:ascii="Times New Roman" w:eastAsia="Times New Roman" w:hAnsi="Times New Roman" w:cs="Times New Roman"/>
      <w:szCs w:val="24"/>
      <w:lang w:eastAsia="hr-HR"/>
    </w:rPr>
  </w:style>
  <w:style w:type="character" w:styleId="Hiperveza">
    <w:name w:val="Hyperlink"/>
    <w:basedOn w:val="Zadanifontodlomka"/>
    <w:uiPriority w:val="99"/>
    <w:unhideWhenUsed/>
    <w:rsid w:val="005165C5"/>
    <w:rPr>
      <w:color w:val="0000FF" w:themeColor="hyperlink"/>
      <w:u w:val="single"/>
    </w:rPr>
  </w:style>
  <w:style w:type="character" w:styleId="SlijeenaHiperveza">
    <w:name w:val="FollowedHyperlink"/>
    <w:basedOn w:val="Zadanifontodlomka"/>
    <w:uiPriority w:val="99"/>
    <w:semiHidden/>
    <w:unhideWhenUsed/>
    <w:rsid w:val="005165C5"/>
    <w:rPr>
      <w:color w:val="800080" w:themeColor="followedHyperlink"/>
      <w:u w:val="single"/>
    </w:rPr>
  </w:style>
  <w:style w:type="character" w:customStyle="1" w:styleId="kurziv">
    <w:name w:val="kurziv"/>
    <w:basedOn w:val="Zadanifontodlomka"/>
    <w:rsid w:val="009B6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495">
    <w:name w:val="box_459495"/>
    <w:basedOn w:val="Normal"/>
    <w:rsid w:val="005165C5"/>
    <w:pPr>
      <w:spacing w:before="100" w:beforeAutospacing="1" w:after="100" w:afterAutospacing="1" w:line="240" w:lineRule="auto"/>
    </w:pPr>
    <w:rPr>
      <w:rFonts w:ascii="Times New Roman" w:eastAsia="Times New Roman" w:hAnsi="Times New Roman" w:cs="Times New Roman"/>
      <w:szCs w:val="24"/>
      <w:lang w:eastAsia="hr-HR"/>
    </w:rPr>
  </w:style>
  <w:style w:type="character" w:styleId="Hiperveza">
    <w:name w:val="Hyperlink"/>
    <w:basedOn w:val="Zadanifontodlomka"/>
    <w:uiPriority w:val="99"/>
    <w:unhideWhenUsed/>
    <w:rsid w:val="005165C5"/>
    <w:rPr>
      <w:color w:val="0000FF" w:themeColor="hyperlink"/>
      <w:u w:val="single"/>
    </w:rPr>
  </w:style>
  <w:style w:type="character" w:styleId="SlijeenaHiperveza">
    <w:name w:val="FollowedHyperlink"/>
    <w:basedOn w:val="Zadanifontodlomka"/>
    <w:uiPriority w:val="99"/>
    <w:semiHidden/>
    <w:unhideWhenUsed/>
    <w:rsid w:val="005165C5"/>
    <w:rPr>
      <w:color w:val="800080" w:themeColor="followedHyperlink"/>
      <w:u w:val="single"/>
    </w:rPr>
  </w:style>
  <w:style w:type="character" w:customStyle="1" w:styleId="kurziv">
    <w:name w:val="kurziv"/>
    <w:basedOn w:val="Zadanifontodlomka"/>
    <w:rsid w:val="009B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4142">
      <w:bodyDiv w:val="1"/>
      <w:marLeft w:val="0"/>
      <w:marRight w:val="0"/>
      <w:marTop w:val="0"/>
      <w:marBottom w:val="0"/>
      <w:divBdr>
        <w:top w:val="none" w:sz="0" w:space="0" w:color="auto"/>
        <w:left w:val="none" w:sz="0" w:space="0" w:color="auto"/>
        <w:bottom w:val="none" w:sz="0" w:space="0" w:color="auto"/>
        <w:right w:val="none" w:sz="0" w:space="0" w:color="auto"/>
      </w:divBdr>
    </w:div>
    <w:div w:id="832258695">
      <w:bodyDiv w:val="1"/>
      <w:marLeft w:val="0"/>
      <w:marRight w:val="0"/>
      <w:marTop w:val="0"/>
      <w:marBottom w:val="0"/>
      <w:divBdr>
        <w:top w:val="none" w:sz="0" w:space="0" w:color="auto"/>
        <w:left w:val="none" w:sz="0" w:space="0" w:color="auto"/>
        <w:bottom w:val="none" w:sz="0" w:space="0" w:color="auto"/>
        <w:right w:val="none" w:sz="0" w:space="0" w:color="auto"/>
      </w:divBdr>
    </w:div>
    <w:div w:id="846793871">
      <w:bodyDiv w:val="1"/>
      <w:marLeft w:val="0"/>
      <w:marRight w:val="0"/>
      <w:marTop w:val="0"/>
      <w:marBottom w:val="0"/>
      <w:divBdr>
        <w:top w:val="none" w:sz="0" w:space="0" w:color="auto"/>
        <w:left w:val="none" w:sz="0" w:space="0" w:color="auto"/>
        <w:bottom w:val="none" w:sz="0" w:space="0" w:color="auto"/>
        <w:right w:val="none" w:sz="0" w:space="0" w:color="auto"/>
      </w:divBdr>
    </w:div>
    <w:div w:id="938026061">
      <w:bodyDiv w:val="1"/>
      <w:marLeft w:val="0"/>
      <w:marRight w:val="0"/>
      <w:marTop w:val="0"/>
      <w:marBottom w:val="0"/>
      <w:divBdr>
        <w:top w:val="none" w:sz="0" w:space="0" w:color="auto"/>
        <w:left w:val="none" w:sz="0" w:space="0" w:color="auto"/>
        <w:bottom w:val="none" w:sz="0" w:space="0" w:color="auto"/>
        <w:right w:val="none" w:sz="0" w:space="0" w:color="auto"/>
      </w:divBdr>
    </w:div>
    <w:div w:id="960378901">
      <w:bodyDiv w:val="1"/>
      <w:marLeft w:val="0"/>
      <w:marRight w:val="0"/>
      <w:marTop w:val="0"/>
      <w:marBottom w:val="0"/>
      <w:divBdr>
        <w:top w:val="none" w:sz="0" w:space="0" w:color="auto"/>
        <w:left w:val="none" w:sz="0" w:space="0" w:color="auto"/>
        <w:bottom w:val="none" w:sz="0" w:space="0" w:color="auto"/>
        <w:right w:val="none" w:sz="0" w:space="0" w:color="auto"/>
      </w:divBdr>
    </w:div>
    <w:div w:id="1020350658">
      <w:bodyDiv w:val="1"/>
      <w:marLeft w:val="0"/>
      <w:marRight w:val="0"/>
      <w:marTop w:val="0"/>
      <w:marBottom w:val="0"/>
      <w:divBdr>
        <w:top w:val="none" w:sz="0" w:space="0" w:color="auto"/>
        <w:left w:val="none" w:sz="0" w:space="0" w:color="auto"/>
        <w:bottom w:val="none" w:sz="0" w:space="0" w:color="auto"/>
        <w:right w:val="none" w:sz="0" w:space="0" w:color="auto"/>
      </w:divBdr>
    </w:div>
    <w:div w:id="1188132451">
      <w:bodyDiv w:val="1"/>
      <w:marLeft w:val="0"/>
      <w:marRight w:val="0"/>
      <w:marTop w:val="0"/>
      <w:marBottom w:val="0"/>
      <w:divBdr>
        <w:top w:val="none" w:sz="0" w:space="0" w:color="auto"/>
        <w:left w:val="none" w:sz="0" w:space="0" w:color="auto"/>
        <w:bottom w:val="none" w:sz="0" w:space="0" w:color="auto"/>
        <w:right w:val="none" w:sz="0" w:space="0" w:color="auto"/>
      </w:divBdr>
    </w:div>
    <w:div w:id="1308852052">
      <w:bodyDiv w:val="1"/>
      <w:marLeft w:val="0"/>
      <w:marRight w:val="0"/>
      <w:marTop w:val="0"/>
      <w:marBottom w:val="0"/>
      <w:divBdr>
        <w:top w:val="none" w:sz="0" w:space="0" w:color="auto"/>
        <w:left w:val="none" w:sz="0" w:space="0" w:color="auto"/>
        <w:bottom w:val="none" w:sz="0" w:space="0" w:color="auto"/>
        <w:right w:val="none" w:sz="0" w:space="0" w:color="auto"/>
      </w:divBdr>
    </w:div>
    <w:div w:id="13550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rodne-novine.nn.hr/clanci/sluzbeni/2019_01_7_146.html"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1381</Words>
  <Characters>7874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dc:creator>
  <cp:lastModifiedBy>silvi</cp:lastModifiedBy>
  <cp:revision>4</cp:revision>
  <dcterms:created xsi:type="dcterms:W3CDTF">2019-10-17T07:21:00Z</dcterms:created>
  <dcterms:modified xsi:type="dcterms:W3CDTF">2019-10-17T08:24:00Z</dcterms:modified>
</cp:coreProperties>
</file>